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1" w:type="dxa"/>
        <w:tblInd w:w="-1701" w:type="dxa"/>
        <w:tblBorders>
          <w:top w:val="single" w:sz="6" w:space="0" w:color="auto"/>
          <w:left w:val="single" w:sz="6" w:space="0" w:color="auto"/>
          <w:bottom w:val="single" w:sz="6" w:space="0" w:color="auto"/>
          <w:right w:val="single" w:sz="6" w:space="0" w:color="auto"/>
        </w:tblBorders>
        <w:tblLayout w:type="fixed"/>
        <w:tblCellMar>
          <w:top w:w="28" w:type="dxa"/>
          <w:left w:w="28" w:type="dxa"/>
          <w:right w:w="28" w:type="dxa"/>
        </w:tblCellMar>
        <w:tblLook w:val="0000" w:firstRow="0" w:lastRow="0" w:firstColumn="0" w:lastColumn="0" w:noHBand="0" w:noVBand="0"/>
      </w:tblPr>
      <w:tblGrid>
        <w:gridCol w:w="1729"/>
        <w:gridCol w:w="3969"/>
        <w:gridCol w:w="3941"/>
        <w:gridCol w:w="1162"/>
      </w:tblGrid>
      <w:tr w:rsidR="005A1D99" w:rsidRPr="002B298C" w:rsidTr="00A55BEF">
        <w:trPr>
          <w:cantSplit/>
          <w:trHeight w:val="501"/>
        </w:trPr>
        <w:tc>
          <w:tcPr>
            <w:tcW w:w="1729" w:type="dxa"/>
            <w:vMerge w:val="restart"/>
            <w:tcBorders>
              <w:top w:val="nil"/>
              <w:left w:val="nil"/>
            </w:tcBorders>
          </w:tcPr>
          <w:p w:rsidR="005A1D99" w:rsidRPr="002B298C" w:rsidRDefault="0033038B" w:rsidP="003F1F81">
            <w:pPr>
              <w:pStyle w:val="Sidhuvud"/>
            </w:pPr>
            <w:bookmarkStart w:id="0" w:name="_GoBack"/>
            <w:bookmarkEnd w:id="0"/>
            <w:r>
              <w:rPr>
                <w:noProof/>
              </w:rPr>
              <w:drawing>
                <wp:inline distT="0" distB="0" distL="0" distR="0">
                  <wp:extent cx="866775" cy="1228725"/>
                  <wp:effectExtent l="0" t="0" r="9525" b="9525"/>
                  <wp:docPr id="2" name="Bild 2" descr="Logotyp Sölvesborg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 Sölvesborgs kommu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228725"/>
                          </a:xfrm>
                          <a:prstGeom prst="rect">
                            <a:avLst/>
                          </a:prstGeom>
                          <a:noFill/>
                          <a:ln>
                            <a:noFill/>
                          </a:ln>
                        </pic:spPr>
                      </pic:pic>
                    </a:graphicData>
                  </a:graphic>
                </wp:inline>
              </w:drawing>
            </w:r>
          </w:p>
        </w:tc>
        <w:tc>
          <w:tcPr>
            <w:tcW w:w="3969" w:type="dxa"/>
            <w:vMerge w:val="restart"/>
            <w:tcBorders>
              <w:top w:val="nil"/>
              <w:left w:val="nil"/>
            </w:tcBorders>
          </w:tcPr>
          <w:p w:rsidR="005A1D99" w:rsidRPr="002B298C" w:rsidRDefault="0033038B" w:rsidP="004C2E6D">
            <w:pPr>
              <w:pStyle w:val="Sidhuvud"/>
              <w:spacing w:before="240" w:after="240"/>
            </w:pPr>
            <w:r>
              <w:rPr>
                <w:noProof/>
              </w:rPr>
              <w:drawing>
                <wp:inline distT="0" distB="0" distL="0" distR="0">
                  <wp:extent cx="2047875" cy="200025"/>
                  <wp:effectExtent l="0" t="0" r="9525" b="9525"/>
                  <wp:docPr id="1" name="Bild 1" descr="SBG_kommunna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G_kommunnam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7875" cy="200025"/>
                          </a:xfrm>
                          <a:prstGeom prst="rect">
                            <a:avLst/>
                          </a:prstGeom>
                          <a:noFill/>
                          <a:ln>
                            <a:noFill/>
                          </a:ln>
                        </pic:spPr>
                      </pic:pic>
                    </a:graphicData>
                  </a:graphic>
                </wp:inline>
              </w:drawing>
            </w:r>
          </w:p>
          <w:p w:rsidR="005A1D99" w:rsidRPr="002B298C" w:rsidRDefault="005A1D99" w:rsidP="003F1F81">
            <w:pPr>
              <w:pStyle w:val="Sidhuvud"/>
              <w:rPr>
                <w:b/>
                <w:bCs/>
              </w:rPr>
            </w:pPr>
          </w:p>
          <w:p w:rsidR="002B298C" w:rsidRPr="002B298C" w:rsidRDefault="002B298C" w:rsidP="003F1F81">
            <w:pPr>
              <w:pStyle w:val="Sidhuvud"/>
            </w:pPr>
          </w:p>
        </w:tc>
        <w:tc>
          <w:tcPr>
            <w:tcW w:w="3941" w:type="dxa"/>
            <w:tcBorders>
              <w:top w:val="nil"/>
            </w:tcBorders>
            <w:vAlign w:val="bottom"/>
          </w:tcPr>
          <w:p w:rsidR="005A1D99" w:rsidRPr="002B298C" w:rsidRDefault="005A1D99">
            <w:pPr>
              <w:pStyle w:val="Sidhuvud"/>
              <w:rPr>
                <w:b/>
                <w:bCs/>
              </w:rPr>
            </w:pPr>
          </w:p>
        </w:tc>
        <w:tc>
          <w:tcPr>
            <w:tcW w:w="1162" w:type="dxa"/>
            <w:tcBorders>
              <w:top w:val="nil"/>
              <w:right w:val="nil"/>
            </w:tcBorders>
            <w:vAlign w:val="bottom"/>
          </w:tcPr>
          <w:p w:rsidR="005A1D99" w:rsidRPr="002B298C" w:rsidRDefault="005A1D99" w:rsidP="002565B5">
            <w:pPr>
              <w:pStyle w:val="Sidhuvudledtext"/>
            </w:pPr>
          </w:p>
        </w:tc>
      </w:tr>
      <w:tr w:rsidR="005A1D99" w:rsidRPr="002B298C" w:rsidTr="00A55BEF">
        <w:trPr>
          <w:cantSplit/>
          <w:trHeight w:val="729"/>
        </w:trPr>
        <w:tc>
          <w:tcPr>
            <w:tcW w:w="1729" w:type="dxa"/>
            <w:vMerge/>
            <w:tcBorders>
              <w:left w:val="nil"/>
            </w:tcBorders>
          </w:tcPr>
          <w:p w:rsidR="005A1D99" w:rsidRPr="002B298C" w:rsidRDefault="005A1D99">
            <w:pPr>
              <w:pStyle w:val="Tabellinnehll"/>
            </w:pPr>
          </w:p>
        </w:tc>
        <w:tc>
          <w:tcPr>
            <w:tcW w:w="3969" w:type="dxa"/>
            <w:vMerge/>
            <w:tcBorders>
              <w:left w:val="nil"/>
            </w:tcBorders>
          </w:tcPr>
          <w:p w:rsidR="005A1D99" w:rsidRPr="002B298C" w:rsidRDefault="005A1D99">
            <w:pPr>
              <w:pStyle w:val="Tabellinnehll"/>
            </w:pPr>
          </w:p>
        </w:tc>
        <w:tc>
          <w:tcPr>
            <w:tcW w:w="3941" w:type="dxa"/>
            <w:tcBorders>
              <w:top w:val="nil"/>
            </w:tcBorders>
          </w:tcPr>
          <w:p w:rsidR="005A1D99" w:rsidRPr="002B298C" w:rsidRDefault="002B298C" w:rsidP="00E67285">
            <w:pPr>
              <w:pStyle w:val="Sidhuvudledtext"/>
            </w:pPr>
            <w:r>
              <w:t>Datum</w:t>
            </w:r>
          </w:p>
          <w:p w:rsidR="005A1D99" w:rsidRPr="002B298C" w:rsidRDefault="00F42D7B" w:rsidP="00E67285">
            <w:pPr>
              <w:pStyle w:val="Sidhuvud"/>
            </w:pPr>
            <w:r>
              <w:t>2017-10-02</w:t>
            </w:r>
          </w:p>
        </w:tc>
        <w:tc>
          <w:tcPr>
            <w:tcW w:w="1162" w:type="dxa"/>
            <w:tcBorders>
              <w:top w:val="nil"/>
              <w:right w:val="nil"/>
            </w:tcBorders>
          </w:tcPr>
          <w:p w:rsidR="00A55BEF" w:rsidRDefault="00A55BEF" w:rsidP="00A55BEF">
            <w:pPr>
              <w:pStyle w:val="Sidhuvudledtext"/>
            </w:pPr>
          </w:p>
          <w:p w:rsidR="00A55BEF" w:rsidRPr="00A55BEF" w:rsidRDefault="00A55BEF" w:rsidP="00A55BEF">
            <w:pPr>
              <w:pStyle w:val="Sidhuvudledtext"/>
              <w:rPr>
                <w:sz w:val="20"/>
              </w:rPr>
            </w:pPr>
            <w:r w:rsidRPr="00A55BEF">
              <w:rPr>
                <w:sz w:val="20"/>
              </w:rPr>
              <w:t>Dnr 2017/299</w:t>
            </w:r>
          </w:p>
          <w:p w:rsidR="005A1D99" w:rsidRPr="002B298C" w:rsidRDefault="005A1D99" w:rsidP="00E67285">
            <w:pPr>
              <w:pStyle w:val="Sidhuvud"/>
            </w:pPr>
          </w:p>
        </w:tc>
      </w:tr>
      <w:tr w:rsidR="005A1D99" w:rsidRPr="002B298C" w:rsidTr="00A55BEF">
        <w:trPr>
          <w:cantSplit/>
          <w:trHeight w:val="729"/>
        </w:trPr>
        <w:tc>
          <w:tcPr>
            <w:tcW w:w="1729" w:type="dxa"/>
            <w:vMerge/>
            <w:tcBorders>
              <w:left w:val="nil"/>
            </w:tcBorders>
          </w:tcPr>
          <w:p w:rsidR="005A1D99" w:rsidRPr="002B298C" w:rsidRDefault="005A1D99">
            <w:pPr>
              <w:pStyle w:val="Sidhuvud"/>
              <w:rPr>
                <w:b/>
                <w:bCs/>
              </w:rPr>
            </w:pPr>
          </w:p>
        </w:tc>
        <w:tc>
          <w:tcPr>
            <w:tcW w:w="3969" w:type="dxa"/>
            <w:vMerge/>
            <w:tcBorders>
              <w:left w:val="nil"/>
            </w:tcBorders>
            <w:vAlign w:val="bottom"/>
          </w:tcPr>
          <w:p w:rsidR="005A1D99" w:rsidRPr="002B298C" w:rsidRDefault="005A1D99">
            <w:pPr>
              <w:pStyle w:val="Sidhuvud"/>
              <w:rPr>
                <w:b/>
                <w:bCs/>
              </w:rPr>
            </w:pPr>
          </w:p>
        </w:tc>
        <w:tc>
          <w:tcPr>
            <w:tcW w:w="3941" w:type="dxa"/>
            <w:tcBorders>
              <w:top w:val="nil"/>
            </w:tcBorders>
          </w:tcPr>
          <w:p w:rsidR="00C75DFF" w:rsidRDefault="00C75DFF" w:rsidP="00E67285">
            <w:pPr>
              <w:pStyle w:val="Sidhuvudledtext"/>
              <w:rPr>
                <w:sz w:val="24"/>
                <w:szCs w:val="24"/>
              </w:rPr>
            </w:pPr>
          </w:p>
          <w:p w:rsidR="00C75DFF" w:rsidRDefault="00C75DFF" w:rsidP="00E67285">
            <w:pPr>
              <w:pStyle w:val="Sidhuvudledtext"/>
              <w:rPr>
                <w:sz w:val="24"/>
                <w:szCs w:val="24"/>
              </w:rPr>
            </w:pPr>
          </w:p>
          <w:p w:rsidR="00C75DFF" w:rsidRDefault="00C75DFF" w:rsidP="00E67285">
            <w:pPr>
              <w:pStyle w:val="Sidhuvudledtext"/>
              <w:rPr>
                <w:sz w:val="24"/>
                <w:szCs w:val="24"/>
              </w:rPr>
            </w:pPr>
          </w:p>
          <w:p w:rsidR="005A1D99" w:rsidRPr="00A55BEF" w:rsidRDefault="00A55BEF" w:rsidP="00E67285">
            <w:pPr>
              <w:pStyle w:val="Sidhuvudledtext"/>
              <w:rPr>
                <w:sz w:val="24"/>
                <w:szCs w:val="24"/>
              </w:rPr>
            </w:pPr>
            <w:r w:rsidRPr="00A55BEF">
              <w:rPr>
                <w:sz w:val="24"/>
                <w:szCs w:val="24"/>
              </w:rPr>
              <w:t>Landsbygdsminister Sven-Erik Bucht</w:t>
            </w:r>
          </w:p>
          <w:p w:rsidR="005A1D99" w:rsidRPr="00A55BEF" w:rsidRDefault="005A1D99" w:rsidP="00E67285">
            <w:pPr>
              <w:pStyle w:val="Sidhuvud"/>
            </w:pPr>
          </w:p>
        </w:tc>
        <w:tc>
          <w:tcPr>
            <w:tcW w:w="1162" w:type="dxa"/>
            <w:tcBorders>
              <w:top w:val="nil"/>
              <w:right w:val="nil"/>
            </w:tcBorders>
          </w:tcPr>
          <w:p w:rsidR="005A1D99" w:rsidRPr="00A55BEF" w:rsidRDefault="005A1D99" w:rsidP="00A55BEF">
            <w:pPr>
              <w:pStyle w:val="Sidhuvudledtext"/>
              <w:rPr>
                <w:sz w:val="20"/>
              </w:rPr>
            </w:pPr>
          </w:p>
        </w:tc>
      </w:tr>
      <w:tr w:rsidR="005A1D99" w:rsidRPr="002B298C" w:rsidTr="005A1D99">
        <w:tblPrEx>
          <w:tblBorders>
            <w:top w:val="none" w:sz="0" w:space="0" w:color="auto"/>
            <w:left w:val="none" w:sz="0" w:space="0" w:color="auto"/>
            <w:bottom w:val="none" w:sz="0" w:space="0" w:color="auto"/>
            <w:right w:val="none" w:sz="0" w:space="0" w:color="auto"/>
          </w:tblBorders>
        </w:tblPrEx>
        <w:trPr>
          <w:cantSplit/>
          <w:trHeight w:hRule="exact" w:val="243"/>
        </w:trPr>
        <w:tc>
          <w:tcPr>
            <w:tcW w:w="1729" w:type="dxa"/>
            <w:vMerge/>
          </w:tcPr>
          <w:p w:rsidR="005A1D99" w:rsidRPr="002B298C" w:rsidRDefault="005A1D99">
            <w:pPr>
              <w:pStyle w:val="Sidhuvud"/>
            </w:pPr>
          </w:p>
        </w:tc>
        <w:tc>
          <w:tcPr>
            <w:tcW w:w="3969" w:type="dxa"/>
          </w:tcPr>
          <w:p w:rsidR="005A1D99" w:rsidRPr="002B298C" w:rsidRDefault="005A1D99">
            <w:pPr>
              <w:pStyle w:val="Sidhuvud"/>
            </w:pPr>
          </w:p>
        </w:tc>
        <w:tc>
          <w:tcPr>
            <w:tcW w:w="5103" w:type="dxa"/>
            <w:gridSpan w:val="2"/>
          </w:tcPr>
          <w:p w:rsidR="005A1D99" w:rsidRPr="002B298C" w:rsidRDefault="005A1D99">
            <w:pPr>
              <w:pStyle w:val="Sidhuvud"/>
            </w:pPr>
          </w:p>
        </w:tc>
      </w:tr>
      <w:tr w:rsidR="005A1D99" w:rsidRPr="002B298C" w:rsidTr="00D23FE0">
        <w:tblPrEx>
          <w:tblBorders>
            <w:top w:val="none" w:sz="0" w:space="0" w:color="auto"/>
            <w:left w:val="none" w:sz="0" w:space="0" w:color="auto"/>
            <w:bottom w:val="none" w:sz="0" w:space="0" w:color="auto"/>
            <w:right w:val="none" w:sz="0" w:space="0" w:color="auto"/>
          </w:tblBorders>
        </w:tblPrEx>
        <w:trPr>
          <w:cantSplit/>
          <w:trHeight w:hRule="exact" w:val="480"/>
        </w:trPr>
        <w:tc>
          <w:tcPr>
            <w:tcW w:w="1729" w:type="dxa"/>
            <w:vMerge/>
          </w:tcPr>
          <w:p w:rsidR="005A1D99" w:rsidRPr="002B298C" w:rsidRDefault="005A1D99">
            <w:pPr>
              <w:pStyle w:val="Sidhuvud"/>
            </w:pPr>
          </w:p>
        </w:tc>
        <w:tc>
          <w:tcPr>
            <w:tcW w:w="3969" w:type="dxa"/>
          </w:tcPr>
          <w:p w:rsidR="005A1D99" w:rsidRPr="002B298C" w:rsidRDefault="005A1D99">
            <w:pPr>
              <w:pStyle w:val="Sidhuvud"/>
            </w:pPr>
          </w:p>
        </w:tc>
        <w:tc>
          <w:tcPr>
            <w:tcW w:w="5103" w:type="dxa"/>
            <w:gridSpan w:val="2"/>
          </w:tcPr>
          <w:p w:rsidR="005A1D99" w:rsidRPr="002B298C" w:rsidRDefault="005A1D99">
            <w:pPr>
              <w:pStyle w:val="Sidhuvud"/>
            </w:pPr>
          </w:p>
        </w:tc>
      </w:tr>
      <w:tr w:rsidR="005A1D99" w:rsidRPr="002B298C" w:rsidTr="00D23FE0">
        <w:tblPrEx>
          <w:tblBorders>
            <w:top w:val="none" w:sz="0" w:space="0" w:color="auto"/>
            <w:left w:val="none" w:sz="0" w:space="0" w:color="auto"/>
            <w:bottom w:val="none" w:sz="0" w:space="0" w:color="auto"/>
            <w:right w:val="none" w:sz="0" w:space="0" w:color="auto"/>
          </w:tblBorders>
        </w:tblPrEx>
        <w:trPr>
          <w:cantSplit/>
          <w:trHeight w:hRule="exact" w:val="108"/>
        </w:trPr>
        <w:tc>
          <w:tcPr>
            <w:tcW w:w="1729" w:type="dxa"/>
            <w:vMerge/>
          </w:tcPr>
          <w:p w:rsidR="005A1D99" w:rsidRPr="002B298C" w:rsidRDefault="005A1D99">
            <w:pPr>
              <w:pStyle w:val="Sidhuvud"/>
            </w:pPr>
          </w:p>
        </w:tc>
        <w:tc>
          <w:tcPr>
            <w:tcW w:w="3969" w:type="dxa"/>
          </w:tcPr>
          <w:p w:rsidR="005A1D99" w:rsidRPr="002B298C" w:rsidRDefault="005A1D99">
            <w:pPr>
              <w:pStyle w:val="Sidhuvud"/>
            </w:pPr>
          </w:p>
        </w:tc>
        <w:tc>
          <w:tcPr>
            <w:tcW w:w="5103" w:type="dxa"/>
            <w:gridSpan w:val="2"/>
          </w:tcPr>
          <w:p w:rsidR="005A1D99" w:rsidRPr="002B298C" w:rsidRDefault="005A1D99">
            <w:pPr>
              <w:pStyle w:val="Sidhuvud"/>
            </w:pPr>
          </w:p>
        </w:tc>
      </w:tr>
    </w:tbl>
    <w:p w:rsidR="00896980" w:rsidRPr="00F42D7B" w:rsidRDefault="00F42D7B" w:rsidP="00A90565">
      <w:pPr>
        <w:rPr>
          <w:rFonts w:asciiTheme="minorHAnsi" w:hAnsiTheme="minorHAnsi"/>
          <w:b/>
          <w:bCs/>
          <w:sz w:val="28"/>
          <w:szCs w:val="28"/>
        </w:rPr>
      </w:pPr>
      <w:r w:rsidRPr="00F42D7B">
        <w:rPr>
          <w:rFonts w:asciiTheme="minorHAnsi" w:hAnsiTheme="minorHAnsi"/>
          <w:b/>
          <w:bCs/>
          <w:sz w:val="28"/>
          <w:szCs w:val="28"/>
        </w:rPr>
        <w:t>Beträffande Europeiska kommissionens förslag till Rådets förordning om fastställande för 2018 av fiskemöjligheter för vissa fiskbestånd och grupper av fiskbestånd i Östersjön</w:t>
      </w:r>
    </w:p>
    <w:p w:rsidR="00F42D7B" w:rsidRDefault="00F42D7B" w:rsidP="00A90565">
      <w:pPr>
        <w:rPr>
          <w:rFonts w:asciiTheme="minorHAnsi" w:hAnsiTheme="minorHAnsi"/>
          <w:bCs/>
        </w:rPr>
      </w:pPr>
    </w:p>
    <w:p w:rsidR="00F42D7B" w:rsidRDefault="00F42D7B" w:rsidP="00A90565">
      <w:pPr>
        <w:rPr>
          <w:rFonts w:asciiTheme="minorHAnsi" w:hAnsiTheme="minorHAnsi"/>
          <w:bCs/>
        </w:rPr>
      </w:pPr>
      <w:r>
        <w:rPr>
          <w:rFonts w:asciiTheme="minorHAnsi" w:hAnsiTheme="minorHAnsi"/>
          <w:bCs/>
        </w:rPr>
        <w:t xml:space="preserve">Europeiska kommissionen föreslår Rådet att, enligt 2017/0212, besluta om ett totalt förbud av allt fiske efter ål i Östersjön under 2018. </w:t>
      </w:r>
    </w:p>
    <w:p w:rsidR="00F42D7B" w:rsidRDefault="00F42D7B" w:rsidP="00A90565">
      <w:pPr>
        <w:rPr>
          <w:rFonts w:asciiTheme="minorHAnsi" w:hAnsiTheme="minorHAnsi"/>
          <w:bCs/>
        </w:rPr>
      </w:pPr>
    </w:p>
    <w:p w:rsidR="00F42D7B" w:rsidRDefault="00F42D7B" w:rsidP="00A90565">
      <w:pPr>
        <w:rPr>
          <w:rFonts w:asciiTheme="minorHAnsi" w:hAnsiTheme="minorHAnsi"/>
          <w:bCs/>
        </w:rPr>
      </w:pPr>
      <w:r>
        <w:rPr>
          <w:rFonts w:asciiTheme="minorHAnsi" w:hAnsiTheme="minorHAnsi"/>
          <w:bCs/>
        </w:rPr>
        <w:t>Från Sölvesborgs kommun vill vi anföra följande: Vi delar uppfattningen att kraftfulla åtgärder måste vidtas för att värna beståndet av ål i Östersjön. Efter att Rådet fatta</w:t>
      </w:r>
      <w:r w:rsidR="00F56C64">
        <w:rPr>
          <w:rFonts w:asciiTheme="minorHAnsi" w:hAnsiTheme="minorHAnsi"/>
          <w:bCs/>
        </w:rPr>
        <w:t>t</w:t>
      </w:r>
      <w:r>
        <w:rPr>
          <w:rFonts w:asciiTheme="minorHAnsi" w:hAnsiTheme="minorHAnsi"/>
          <w:bCs/>
        </w:rPr>
        <w:t xml:space="preserve"> beslut 2007 om att (Rådsförordning nr 1100/2007) varje medlemsstat gavs möjlighet att upprätta förvaltningsplaner för ål, beslutade Sverige om en förvaltningsplan för ål 2008. </w:t>
      </w:r>
    </w:p>
    <w:p w:rsidR="00F42D7B" w:rsidRDefault="00F42D7B" w:rsidP="00A90565">
      <w:pPr>
        <w:rPr>
          <w:rFonts w:asciiTheme="minorHAnsi" w:hAnsiTheme="minorHAnsi"/>
          <w:bCs/>
        </w:rPr>
      </w:pPr>
    </w:p>
    <w:p w:rsidR="00F42D7B" w:rsidRDefault="00F42D7B" w:rsidP="00A90565">
      <w:pPr>
        <w:rPr>
          <w:rFonts w:asciiTheme="minorHAnsi" w:hAnsiTheme="minorHAnsi"/>
          <w:bCs/>
        </w:rPr>
      </w:pPr>
      <w:r>
        <w:rPr>
          <w:rFonts w:asciiTheme="minorHAnsi" w:hAnsiTheme="minorHAnsi"/>
          <w:bCs/>
        </w:rPr>
        <w:t xml:space="preserve">Det innebar kraftiga begränsningar i ålfisket och dåvarande Fiskeriverket beslutade i princip om ett förbud mot fiske av ål. För den som var ekonomiskt beroende av ålfiske gavs dispens. Antalet dispenser har därefter minskat stadigt. </w:t>
      </w:r>
    </w:p>
    <w:p w:rsidR="00F42D7B" w:rsidRDefault="00F42D7B" w:rsidP="00A90565">
      <w:pPr>
        <w:rPr>
          <w:rFonts w:asciiTheme="minorHAnsi" w:hAnsiTheme="minorHAnsi"/>
          <w:bCs/>
        </w:rPr>
      </w:pPr>
    </w:p>
    <w:p w:rsidR="00F42D7B" w:rsidRDefault="00F42D7B" w:rsidP="00A90565">
      <w:pPr>
        <w:rPr>
          <w:rFonts w:asciiTheme="minorHAnsi" w:hAnsiTheme="minorHAnsi"/>
          <w:bCs/>
        </w:rPr>
      </w:pPr>
      <w:r>
        <w:rPr>
          <w:rFonts w:asciiTheme="minorHAnsi" w:hAnsiTheme="minorHAnsi"/>
          <w:bCs/>
        </w:rPr>
        <w:t xml:space="preserve">2007, </w:t>
      </w:r>
      <w:r w:rsidR="00C75DFF">
        <w:rPr>
          <w:rFonts w:asciiTheme="minorHAnsi" w:hAnsiTheme="minorHAnsi"/>
          <w:bCs/>
        </w:rPr>
        <w:t>vid förbudets införande fanns 27</w:t>
      </w:r>
      <w:r>
        <w:rPr>
          <w:rFonts w:asciiTheme="minorHAnsi" w:hAnsiTheme="minorHAnsi"/>
          <w:bCs/>
        </w:rPr>
        <w:t xml:space="preserve"> tillstånd för fiske av ål längs Blekinge</w:t>
      </w:r>
      <w:r w:rsidR="00C75DFF">
        <w:rPr>
          <w:rFonts w:asciiTheme="minorHAnsi" w:hAnsiTheme="minorHAnsi"/>
          <w:bCs/>
        </w:rPr>
        <w:t xml:space="preserve">s kust och 2017 finns endast 18 </w:t>
      </w:r>
      <w:r>
        <w:rPr>
          <w:rFonts w:asciiTheme="minorHAnsi" w:hAnsiTheme="minorHAnsi"/>
          <w:bCs/>
        </w:rPr>
        <w:t xml:space="preserve">tillstånd kvar. </w:t>
      </w:r>
      <w:r w:rsidR="00C75DFF" w:rsidRPr="00C75DFF">
        <w:rPr>
          <w:rFonts w:asciiTheme="minorHAnsi" w:hAnsiTheme="minorHAnsi"/>
          <w:bCs/>
        </w:rPr>
        <w:t>För Sölvesborg</w:t>
      </w:r>
      <w:r w:rsidR="00C75DFF">
        <w:rPr>
          <w:rFonts w:asciiTheme="minorHAnsi" w:hAnsiTheme="minorHAnsi"/>
          <w:bCs/>
        </w:rPr>
        <w:t>s kommun</w:t>
      </w:r>
      <w:r w:rsidR="00C75DFF" w:rsidRPr="00C75DFF">
        <w:rPr>
          <w:rFonts w:asciiTheme="minorHAnsi" w:hAnsiTheme="minorHAnsi"/>
          <w:bCs/>
        </w:rPr>
        <w:t xml:space="preserve"> </w:t>
      </w:r>
      <w:r w:rsidR="00C75DFF">
        <w:rPr>
          <w:rFonts w:asciiTheme="minorHAnsi" w:hAnsiTheme="minorHAnsi"/>
          <w:bCs/>
        </w:rPr>
        <w:t xml:space="preserve">fanns 2007 15 tillstånd </w:t>
      </w:r>
      <w:r w:rsidR="00C75DFF" w:rsidRPr="00C75DFF">
        <w:rPr>
          <w:rFonts w:asciiTheme="minorHAnsi" w:hAnsiTheme="minorHAnsi"/>
          <w:bCs/>
        </w:rPr>
        <w:t xml:space="preserve">och </w:t>
      </w:r>
      <w:r w:rsidR="00C75DFF">
        <w:rPr>
          <w:rFonts w:asciiTheme="minorHAnsi" w:hAnsiTheme="minorHAnsi"/>
          <w:bCs/>
        </w:rPr>
        <w:t xml:space="preserve">för 2017 9 tillstånd. </w:t>
      </w:r>
      <w:r>
        <w:rPr>
          <w:rFonts w:asciiTheme="minorHAnsi" w:hAnsiTheme="minorHAnsi"/>
          <w:bCs/>
        </w:rPr>
        <w:t>I hela landet har antalet åltillstånd minskat med mer än hälften</w:t>
      </w:r>
      <w:r w:rsidR="00C13183">
        <w:rPr>
          <w:rFonts w:asciiTheme="minorHAnsi" w:hAnsiTheme="minorHAnsi"/>
          <w:bCs/>
        </w:rPr>
        <w:t xml:space="preserve">, från 433 till 210 under samma period. </w:t>
      </w:r>
    </w:p>
    <w:p w:rsidR="00C13183" w:rsidRDefault="00C13183" w:rsidP="00A90565">
      <w:pPr>
        <w:rPr>
          <w:rFonts w:asciiTheme="minorHAnsi" w:hAnsiTheme="minorHAnsi"/>
          <w:bCs/>
        </w:rPr>
      </w:pPr>
    </w:p>
    <w:p w:rsidR="00C13183" w:rsidRDefault="00C13183" w:rsidP="00A90565">
      <w:pPr>
        <w:rPr>
          <w:rFonts w:asciiTheme="minorHAnsi" w:hAnsiTheme="minorHAnsi"/>
          <w:bCs/>
        </w:rPr>
      </w:pPr>
      <w:r>
        <w:rPr>
          <w:rFonts w:asciiTheme="minorHAnsi" w:hAnsiTheme="minorHAnsi"/>
          <w:bCs/>
        </w:rPr>
        <w:t>Det nuvarande fisket sker inom ramen för den svenska förvaltningsplanen och är en av de mest ambitiösa i Europa. En analys av behovet att revidera den nationella förvaltningsplanen för ål genomfördes av Havs- och vattenmyndigheten 2015. Enligt en då genomförd mätningsstudie indikeras att fiskets påverkan på ålbeståndet minskar kontinuerligt efterhand som fisket minskar. Man bedömde den genomsnittliga påverkan från svenskt fiske till 2 %. Det är en kraftig minskning i förhållande till åren 2000 till 2010 där den</w:t>
      </w:r>
      <w:r w:rsidR="00F56C64">
        <w:rPr>
          <w:rFonts w:asciiTheme="minorHAnsi" w:hAnsiTheme="minorHAnsi"/>
          <w:bCs/>
        </w:rPr>
        <w:t xml:space="preserve"> </w:t>
      </w:r>
      <w:r>
        <w:rPr>
          <w:rFonts w:asciiTheme="minorHAnsi" w:hAnsiTheme="minorHAnsi"/>
          <w:bCs/>
        </w:rPr>
        <w:t xml:space="preserve">genomsnittliga påverkan uppskattades till 10 %. Målet i förvaltningsplanen från 2007 var att </w:t>
      </w:r>
      <w:r w:rsidR="0045491A">
        <w:rPr>
          <w:rFonts w:asciiTheme="minorHAnsi" w:hAnsiTheme="minorHAnsi"/>
          <w:bCs/>
        </w:rPr>
        <w:t xml:space="preserve">reducera fiskets fångster av ål med cirka 50 %. </w:t>
      </w:r>
    </w:p>
    <w:p w:rsidR="0045491A" w:rsidRDefault="0045491A" w:rsidP="00A90565">
      <w:pPr>
        <w:rPr>
          <w:rFonts w:asciiTheme="minorHAnsi" w:hAnsiTheme="minorHAnsi"/>
          <w:bCs/>
        </w:rPr>
      </w:pPr>
    </w:p>
    <w:p w:rsidR="0045491A" w:rsidRDefault="0045491A" w:rsidP="00A90565">
      <w:pPr>
        <w:rPr>
          <w:rFonts w:asciiTheme="minorHAnsi" w:hAnsiTheme="minorHAnsi"/>
          <w:bCs/>
        </w:rPr>
      </w:pPr>
      <w:r>
        <w:rPr>
          <w:rFonts w:asciiTheme="minorHAnsi" w:hAnsiTheme="minorHAnsi"/>
          <w:bCs/>
        </w:rPr>
        <w:lastRenderedPageBreak/>
        <w:t xml:space="preserve">Regleringarna konstaterades 2015 ha medfört att antalet ålfiskare minskat med 46 % och den totala fångsten av ål minskat med 54 %. Man konstaterar att målet om reduktion av fiskets fångst därmed uppnåtts. Det nuvarande fisket längs den svenska östersjökusten är numera således kraftigt begränsat. </w:t>
      </w:r>
    </w:p>
    <w:p w:rsidR="0045491A" w:rsidRDefault="0045491A" w:rsidP="00A90565">
      <w:pPr>
        <w:rPr>
          <w:rFonts w:asciiTheme="minorHAnsi" w:hAnsiTheme="minorHAnsi"/>
          <w:bCs/>
        </w:rPr>
      </w:pPr>
    </w:p>
    <w:p w:rsidR="0045491A" w:rsidRDefault="0045491A" w:rsidP="00A90565">
      <w:pPr>
        <w:rPr>
          <w:rFonts w:asciiTheme="minorHAnsi" w:hAnsiTheme="minorHAnsi"/>
          <w:bCs/>
        </w:rPr>
      </w:pPr>
      <w:r>
        <w:rPr>
          <w:rFonts w:asciiTheme="minorHAnsi" w:hAnsiTheme="minorHAnsi"/>
          <w:bCs/>
        </w:rPr>
        <w:t xml:space="preserve">Ett hot mot ålens fortbestånd är vattenkraftverken i vattendragen längs östersjökusten. Målet om att reducera åldödligheten i vattenkraftverken med 50 % har långt ifrån nåtts. Hittills bedöms dödligheten ha minskat med endast 11 % enligt en rapport från Energiforsk 2015, en utvärdering av målen för programmet Krafttag Ål. </w:t>
      </w:r>
    </w:p>
    <w:p w:rsidR="0045491A" w:rsidRDefault="0045491A" w:rsidP="00A90565">
      <w:pPr>
        <w:rPr>
          <w:rFonts w:asciiTheme="minorHAnsi" w:hAnsiTheme="minorHAnsi"/>
          <w:bCs/>
        </w:rPr>
      </w:pPr>
    </w:p>
    <w:p w:rsidR="0045491A" w:rsidRDefault="0045491A" w:rsidP="00A90565">
      <w:pPr>
        <w:rPr>
          <w:rFonts w:asciiTheme="minorHAnsi" w:hAnsiTheme="minorHAnsi"/>
          <w:bCs/>
        </w:rPr>
      </w:pPr>
      <w:r>
        <w:rPr>
          <w:rFonts w:asciiTheme="minorHAnsi" w:hAnsiTheme="minorHAnsi"/>
          <w:bCs/>
        </w:rPr>
        <w:t xml:space="preserve">Havs- och vattenmyndigheten konstaterar i sin analys från 2015 således att målen om minskad åldödlighet i kraftverksturbiner därmed är långt ifrån uppnått. Det europeiska ålbeståndet har samma ursprung. Fisket längs den svenska östersjökusten utgör överhuvudtaget inte det enskilt största hotet mot förekomsten av ål. </w:t>
      </w:r>
    </w:p>
    <w:p w:rsidR="0045491A" w:rsidRDefault="0045491A" w:rsidP="00A90565">
      <w:pPr>
        <w:rPr>
          <w:rFonts w:asciiTheme="minorHAnsi" w:hAnsiTheme="minorHAnsi"/>
          <w:bCs/>
        </w:rPr>
      </w:pPr>
    </w:p>
    <w:p w:rsidR="0045491A" w:rsidRDefault="0045491A" w:rsidP="00A90565">
      <w:pPr>
        <w:rPr>
          <w:rFonts w:asciiTheme="minorHAnsi" w:hAnsiTheme="minorHAnsi"/>
          <w:bCs/>
        </w:rPr>
      </w:pPr>
      <w:r>
        <w:rPr>
          <w:rFonts w:asciiTheme="minorHAnsi" w:hAnsiTheme="minorHAnsi"/>
          <w:bCs/>
        </w:rPr>
        <w:t>En förutsättning för att nå ett livskraftigt bestånd av ål är att samtliga länder i Europa med ålbestånd i vattnen tar ett gemensamt ansvar. Det är också uppfattningen hos ålforskare vid SLU.</w:t>
      </w:r>
    </w:p>
    <w:p w:rsidR="0045491A" w:rsidRDefault="0045491A" w:rsidP="00A90565">
      <w:pPr>
        <w:rPr>
          <w:rFonts w:asciiTheme="minorHAnsi" w:hAnsiTheme="minorHAnsi"/>
          <w:bCs/>
        </w:rPr>
      </w:pPr>
    </w:p>
    <w:p w:rsidR="00A55BEF" w:rsidRDefault="0045491A" w:rsidP="00A90565">
      <w:pPr>
        <w:rPr>
          <w:rFonts w:asciiTheme="minorHAnsi" w:hAnsiTheme="minorHAnsi"/>
          <w:bCs/>
        </w:rPr>
      </w:pPr>
      <w:r>
        <w:rPr>
          <w:rFonts w:asciiTheme="minorHAnsi" w:hAnsiTheme="minorHAnsi"/>
          <w:bCs/>
        </w:rPr>
        <w:t xml:space="preserve">Våra slutsatser är därför att förvaltningsplanerna för ål måste både följas och skärpas, precis som den svenska förvaltningsplanen följs när det gäller fisket av ål. </w:t>
      </w:r>
      <w:r w:rsidR="00347FE8">
        <w:rPr>
          <w:rFonts w:asciiTheme="minorHAnsi" w:hAnsiTheme="minorHAnsi"/>
          <w:bCs/>
        </w:rPr>
        <w:t>F</w:t>
      </w:r>
      <w:r>
        <w:rPr>
          <w:rFonts w:asciiTheme="minorHAnsi" w:hAnsiTheme="minorHAnsi"/>
          <w:bCs/>
        </w:rPr>
        <w:t xml:space="preserve">isket av glasål måste stoppas. Åldöden i vattenkraftverken måste minst halveras. Att som nu föreslå ett totalförbud mot fiske av ål i Östersjön riskerar endast att slå ut en näringsgren utan att därmed rädda ålen, vilket vidare konstateras från SLU. Enligt Unescos konvention om skydd för det immateriella kulturarv. </w:t>
      </w:r>
      <w:r w:rsidR="00A55BEF">
        <w:rPr>
          <w:rFonts w:asciiTheme="minorHAnsi" w:hAnsiTheme="minorHAnsi"/>
          <w:bCs/>
        </w:rPr>
        <w:t xml:space="preserve">Ålfisket med dess historia, regelverk, fiskeredskap, ålabodarna i landskapet och traditioner fordrar ett aktivt ålfiske. Ålfiskarna bidrar dessutom med sin kunskap och erfarenhet till övervakning av Hanöbuktens kustvattenstatus. </w:t>
      </w:r>
    </w:p>
    <w:p w:rsidR="00A55BEF" w:rsidRDefault="00A55BEF" w:rsidP="00A90565">
      <w:pPr>
        <w:rPr>
          <w:rFonts w:asciiTheme="minorHAnsi" w:hAnsiTheme="minorHAnsi"/>
          <w:bCs/>
        </w:rPr>
      </w:pPr>
    </w:p>
    <w:p w:rsidR="00A55BEF" w:rsidRDefault="00A55BEF" w:rsidP="00A90565">
      <w:pPr>
        <w:rPr>
          <w:rFonts w:asciiTheme="minorHAnsi" w:hAnsiTheme="minorHAnsi"/>
          <w:bCs/>
        </w:rPr>
      </w:pPr>
      <w:r>
        <w:rPr>
          <w:rFonts w:asciiTheme="minorHAnsi" w:hAnsiTheme="minorHAnsi"/>
          <w:bCs/>
        </w:rPr>
        <w:t xml:space="preserve">Utan fisket försvinner mycket stora kulturhistoriska värden som än idag är en ytterst levande tradition. Främjande åtgärder för att vidmakthålla kunskaper och sprida kunskap om ålen och dess traditioner genomförs. </w:t>
      </w:r>
    </w:p>
    <w:p w:rsidR="00A55BEF" w:rsidRDefault="00A55BEF" w:rsidP="00A90565">
      <w:pPr>
        <w:rPr>
          <w:rFonts w:asciiTheme="minorHAnsi" w:hAnsiTheme="minorHAnsi"/>
          <w:bCs/>
        </w:rPr>
      </w:pPr>
    </w:p>
    <w:p w:rsidR="00A55BEF" w:rsidRDefault="00A55BEF" w:rsidP="00A90565">
      <w:pPr>
        <w:rPr>
          <w:rFonts w:asciiTheme="minorHAnsi" w:hAnsiTheme="minorHAnsi"/>
          <w:bCs/>
        </w:rPr>
      </w:pPr>
      <w:r>
        <w:rPr>
          <w:rFonts w:asciiTheme="minorHAnsi" w:hAnsiTheme="minorHAnsi"/>
          <w:bCs/>
        </w:rPr>
        <w:t>För ett långsiktigt bevarande sätts ålyngel ut regelbundet. Turism och evenemang är viktiga inslag för at</w:t>
      </w:r>
      <w:r w:rsidR="00F56C64">
        <w:rPr>
          <w:rFonts w:asciiTheme="minorHAnsi" w:hAnsiTheme="minorHAnsi"/>
          <w:bCs/>
        </w:rPr>
        <w:t>t</w:t>
      </w:r>
      <w:r>
        <w:rPr>
          <w:rFonts w:asciiTheme="minorHAnsi" w:hAnsiTheme="minorHAnsi"/>
          <w:bCs/>
        </w:rPr>
        <w:t xml:space="preserve"> levandegöra ett kulturarv. Dessa traditioner utgör en del av den blekingska östersjökustens identitet. Ett totalförbud mot ålfisket innebär i praktiken ett mycket stort hot mot inte enbart kulturella utan också stora ekonomiska värden. Vår bestämda uppfattning är att regeringen inte ska godkänna Europeiska kommissionens förslag till Rådet om ett totalt fiskestopp av ål 2018. </w:t>
      </w:r>
    </w:p>
    <w:p w:rsidR="00C75DFF" w:rsidRDefault="00C75DFF" w:rsidP="00A90565">
      <w:pPr>
        <w:rPr>
          <w:rFonts w:asciiTheme="minorHAnsi" w:hAnsiTheme="minorHAnsi"/>
          <w:bCs/>
        </w:rPr>
      </w:pPr>
    </w:p>
    <w:p w:rsidR="00C75DFF" w:rsidRDefault="00C75DFF" w:rsidP="00A90565">
      <w:pPr>
        <w:rPr>
          <w:rFonts w:asciiTheme="minorHAnsi" w:hAnsiTheme="minorHAnsi"/>
          <w:bCs/>
        </w:rPr>
      </w:pPr>
    </w:p>
    <w:p w:rsidR="00C75DFF" w:rsidRDefault="00C75DFF" w:rsidP="00A90565">
      <w:pPr>
        <w:rPr>
          <w:rFonts w:asciiTheme="minorHAnsi" w:hAnsiTheme="minorHAnsi"/>
          <w:bCs/>
        </w:rPr>
      </w:pPr>
    </w:p>
    <w:p w:rsidR="00A55BEF" w:rsidRDefault="00A55BEF" w:rsidP="00A90565">
      <w:pPr>
        <w:rPr>
          <w:rFonts w:asciiTheme="minorHAnsi" w:hAnsiTheme="minorHAnsi"/>
          <w:bCs/>
        </w:rPr>
      </w:pPr>
    </w:p>
    <w:p w:rsidR="00A55BEF" w:rsidRDefault="00A55BEF" w:rsidP="00A90565">
      <w:pPr>
        <w:rPr>
          <w:rFonts w:asciiTheme="minorHAnsi" w:hAnsiTheme="minorHAnsi"/>
          <w:bCs/>
        </w:rPr>
      </w:pPr>
    </w:p>
    <w:p w:rsidR="00A55BEF" w:rsidRDefault="00C75DFF" w:rsidP="00A90565">
      <w:pPr>
        <w:rPr>
          <w:rFonts w:asciiTheme="minorHAnsi" w:hAnsiTheme="minorHAnsi"/>
          <w:bCs/>
        </w:rPr>
      </w:pPr>
      <w:r>
        <w:rPr>
          <w:rFonts w:asciiTheme="minorHAnsi" w:hAnsiTheme="minorHAnsi"/>
          <w:bCs/>
        </w:rPr>
        <w:lastRenderedPageBreak/>
        <w:t>Sölvesborgs kommun 2017-10-03</w:t>
      </w:r>
    </w:p>
    <w:p w:rsidR="00C75DFF" w:rsidRDefault="00C75DFF" w:rsidP="00A90565">
      <w:pPr>
        <w:rPr>
          <w:rFonts w:asciiTheme="minorHAnsi" w:hAnsiTheme="minorHAnsi"/>
          <w:bCs/>
        </w:rPr>
      </w:pPr>
    </w:p>
    <w:p w:rsidR="00C75DFF" w:rsidRDefault="00C75DFF" w:rsidP="00A90565">
      <w:pPr>
        <w:rPr>
          <w:rFonts w:asciiTheme="minorHAnsi" w:hAnsiTheme="minorHAnsi"/>
          <w:bCs/>
        </w:rPr>
      </w:pPr>
    </w:p>
    <w:p w:rsidR="00C75DFF" w:rsidRDefault="00C75DFF" w:rsidP="00A90565">
      <w:pPr>
        <w:rPr>
          <w:rFonts w:asciiTheme="minorHAnsi" w:hAnsiTheme="minorHAnsi"/>
          <w:bCs/>
        </w:rPr>
      </w:pPr>
      <w:r>
        <w:rPr>
          <w:rFonts w:asciiTheme="minorHAnsi" w:hAnsiTheme="minorHAnsi"/>
          <w:bCs/>
        </w:rPr>
        <w:t>Heléne Björklund</w:t>
      </w:r>
      <w:r>
        <w:rPr>
          <w:rFonts w:asciiTheme="minorHAnsi" w:hAnsiTheme="minorHAnsi"/>
          <w:bCs/>
        </w:rPr>
        <w:tab/>
      </w:r>
      <w:r>
        <w:rPr>
          <w:rFonts w:asciiTheme="minorHAnsi" w:hAnsiTheme="minorHAnsi"/>
          <w:bCs/>
        </w:rPr>
        <w:tab/>
      </w:r>
      <w:r>
        <w:rPr>
          <w:rFonts w:asciiTheme="minorHAnsi" w:hAnsiTheme="minorHAnsi"/>
          <w:bCs/>
        </w:rPr>
        <w:tab/>
        <w:t>Lars Ericsson</w:t>
      </w:r>
      <w:r>
        <w:rPr>
          <w:rFonts w:asciiTheme="minorHAnsi" w:hAnsiTheme="minorHAnsi"/>
          <w:bCs/>
        </w:rPr>
        <w:br/>
        <w:t>Kommunstyrelsens ordförande</w:t>
      </w:r>
      <w:r>
        <w:rPr>
          <w:rFonts w:asciiTheme="minorHAnsi" w:hAnsiTheme="minorHAnsi"/>
          <w:bCs/>
        </w:rPr>
        <w:tab/>
      </w:r>
      <w:r>
        <w:rPr>
          <w:rFonts w:asciiTheme="minorHAnsi" w:hAnsiTheme="minorHAnsi"/>
          <w:bCs/>
        </w:rPr>
        <w:tab/>
        <w:t>Kommunchef</w:t>
      </w:r>
      <w:r>
        <w:rPr>
          <w:rFonts w:asciiTheme="minorHAnsi" w:hAnsiTheme="minorHAnsi"/>
          <w:bCs/>
        </w:rPr>
        <w:br/>
      </w:r>
      <w:r>
        <w:rPr>
          <w:rFonts w:asciiTheme="minorHAnsi" w:hAnsiTheme="minorHAnsi"/>
          <w:bCs/>
        </w:rPr>
        <w:br/>
      </w:r>
      <w:r w:rsidRPr="00C75DFF">
        <w:rPr>
          <w:rFonts w:asciiTheme="minorHAnsi" w:hAnsiTheme="minorHAnsi"/>
          <w:bCs/>
          <w:u w:val="single"/>
        </w:rPr>
        <w:t>Kopia:</w:t>
      </w:r>
      <w:r>
        <w:rPr>
          <w:rFonts w:asciiTheme="minorHAnsi" w:hAnsiTheme="minorHAnsi"/>
          <w:bCs/>
        </w:rPr>
        <w:br/>
        <w:t>Diariet</w:t>
      </w:r>
      <w:r>
        <w:rPr>
          <w:rFonts w:asciiTheme="minorHAnsi" w:hAnsiTheme="minorHAnsi"/>
          <w:bCs/>
        </w:rPr>
        <w:br/>
        <w:t>Miljösamordnaren</w:t>
      </w:r>
      <w:r>
        <w:rPr>
          <w:rFonts w:asciiTheme="minorHAnsi" w:hAnsiTheme="minorHAnsi"/>
          <w:bCs/>
        </w:rPr>
        <w:br/>
        <w:t>Näringslivschefen</w:t>
      </w:r>
      <w:r>
        <w:rPr>
          <w:rFonts w:asciiTheme="minorHAnsi" w:hAnsiTheme="minorHAnsi"/>
          <w:bCs/>
        </w:rPr>
        <w:br/>
      </w:r>
    </w:p>
    <w:p w:rsidR="00C75DFF" w:rsidRDefault="00C75DFF" w:rsidP="00A90565">
      <w:pPr>
        <w:rPr>
          <w:rFonts w:asciiTheme="minorHAnsi" w:hAnsiTheme="minorHAnsi"/>
          <w:bCs/>
        </w:rPr>
      </w:pPr>
    </w:p>
    <w:p w:rsidR="00A55BEF" w:rsidRDefault="00A55BEF" w:rsidP="00A90565">
      <w:pPr>
        <w:rPr>
          <w:rFonts w:asciiTheme="minorHAnsi" w:hAnsiTheme="minorHAnsi"/>
          <w:bCs/>
        </w:rPr>
      </w:pPr>
    </w:p>
    <w:p w:rsidR="00A55BEF" w:rsidRDefault="00A55BEF" w:rsidP="00A90565">
      <w:pPr>
        <w:rPr>
          <w:rFonts w:asciiTheme="minorHAnsi" w:hAnsiTheme="minorHAnsi"/>
          <w:bCs/>
        </w:rPr>
      </w:pPr>
    </w:p>
    <w:p w:rsidR="00A55BEF" w:rsidRDefault="00A55BEF" w:rsidP="00A90565">
      <w:pPr>
        <w:rPr>
          <w:rFonts w:asciiTheme="minorHAnsi" w:hAnsiTheme="minorHAnsi"/>
          <w:bCs/>
        </w:rPr>
      </w:pPr>
    </w:p>
    <w:p w:rsidR="0045491A" w:rsidRPr="00914A8A" w:rsidRDefault="0045491A" w:rsidP="00A90565">
      <w:pPr>
        <w:rPr>
          <w:rFonts w:asciiTheme="minorHAnsi" w:hAnsiTheme="minorHAnsi"/>
          <w:bCs/>
        </w:rPr>
      </w:pPr>
    </w:p>
    <w:sectPr w:rsidR="0045491A" w:rsidRPr="00914A8A" w:rsidSect="00E41277">
      <w:headerReference w:type="default" r:id="rId10"/>
      <w:footerReference w:type="default" r:id="rId11"/>
      <w:headerReference w:type="first" r:id="rId12"/>
      <w:footerReference w:type="first" r:id="rId13"/>
      <w:pgSz w:w="11906" w:h="16838" w:code="9"/>
      <w:pgMar w:top="454" w:right="1928" w:bottom="397" w:left="2438" w:header="454"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0FB" w:rsidRDefault="002800FB" w:rsidP="00A80039">
      <w:pPr>
        <w:pStyle w:val="Tabellinnehll"/>
      </w:pPr>
      <w:r>
        <w:separator/>
      </w:r>
    </w:p>
  </w:endnote>
  <w:endnote w:type="continuationSeparator" w:id="0">
    <w:p w:rsidR="002800FB" w:rsidRDefault="002800FB" w:rsidP="00A80039">
      <w:pPr>
        <w:pStyle w:val="Tabellinneh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Segoe UI"/>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6B3" w:rsidRDefault="00B046B3" w:rsidP="00BA066B">
    <w:pPr>
      <w:pStyle w:val="Sidfot"/>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6B3" w:rsidRDefault="00B046B3" w:rsidP="00816A2D">
    <w:pPr>
      <w:pStyle w:val="Sidfot"/>
      <w:spacing w:before="240"/>
      <w:ind w:left="-1276"/>
    </w:pPr>
  </w:p>
  <w:tbl>
    <w:tblPr>
      <w:tblW w:w="9642" w:type="dxa"/>
      <w:tblInd w:w="-1304" w:type="dxa"/>
      <w:tblLayout w:type="fixed"/>
      <w:tblCellMar>
        <w:left w:w="70" w:type="dxa"/>
        <w:right w:w="70" w:type="dxa"/>
      </w:tblCellMar>
      <w:tblLook w:val="0000" w:firstRow="0" w:lastRow="0" w:firstColumn="0" w:lastColumn="0" w:noHBand="0" w:noVBand="0"/>
    </w:tblPr>
    <w:tblGrid>
      <w:gridCol w:w="1792"/>
      <w:gridCol w:w="1402"/>
      <w:gridCol w:w="1402"/>
      <w:gridCol w:w="1122"/>
      <w:gridCol w:w="1402"/>
      <w:gridCol w:w="2522"/>
    </w:tblGrid>
    <w:tr w:rsidR="00B046B3" w:rsidTr="000749F0">
      <w:trPr>
        <w:cantSplit/>
        <w:trHeight w:val="418"/>
      </w:trPr>
      <w:tc>
        <w:tcPr>
          <w:tcW w:w="1814" w:type="dxa"/>
          <w:tcBorders>
            <w:top w:val="single" w:sz="4" w:space="0" w:color="auto"/>
          </w:tcBorders>
          <w:vAlign w:val="center"/>
        </w:tcPr>
        <w:p w:rsidR="00B046B3" w:rsidRDefault="00B046B3" w:rsidP="001228D6">
          <w:pPr>
            <w:pStyle w:val="Sidfot"/>
            <w:rPr>
              <w:sz w:val="14"/>
            </w:rPr>
          </w:pPr>
          <w:r>
            <w:rPr>
              <w:sz w:val="14"/>
            </w:rPr>
            <w:t>Postadress</w:t>
          </w:r>
        </w:p>
        <w:p w:rsidR="00B046B3" w:rsidRDefault="00B046B3" w:rsidP="001228D6">
          <w:pPr>
            <w:pStyle w:val="Sidfot"/>
            <w:rPr>
              <w:sz w:val="14"/>
            </w:rPr>
          </w:pPr>
          <w:r>
            <w:rPr>
              <w:sz w:val="14"/>
            </w:rPr>
            <w:t>294 80 Sölvesborg</w:t>
          </w:r>
        </w:p>
      </w:tc>
      <w:tc>
        <w:tcPr>
          <w:tcW w:w="1418" w:type="dxa"/>
          <w:tcBorders>
            <w:top w:val="single" w:sz="4" w:space="0" w:color="auto"/>
          </w:tcBorders>
          <w:vAlign w:val="center"/>
        </w:tcPr>
        <w:p w:rsidR="00B046B3" w:rsidRDefault="00B046B3" w:rsidP="001228D6">
          <w:pPr>
            <w:pStyle w:val="Sidfot"/>
            <w:rPr>
              <w:sz w:val="14"/>
            </w:rPr>
          </w:pPr>
          <w:r>
            <w:rPr>
              <w:sz w:val="14"/>
            </w:rPr>
            <w:t>Telefon</w:t>
          </w:r>
        </w:p>
        <w:p w:rsidR="00B046B3" w:rsidRDefault="00B046B3" w:rsidP="001228D6">
          <w:pPr>
            <w:pStyle w:val="Sidfot"/>
            <w:rPr>
              <w:sz w:val="14"/>
            </w:rPr>
          </w:pPr>
          <w:r>
            <w:rPr>
              <w:sz w:val="14"/>
            </w:rPr>
            <w:t>0456-81 60 00 vx</w:t>
          </w:r>
        </w:p>
      </w:tc>
      <w:tc>
        <w:tcPr>
          <w:tcW w:w="1418" w:type="dxa"/>
          <w:tcBorders>
            <w:top w:val="single" w:sz="4" w:space="0" w:color="auto"/>
          </w:tcBorders>
          <w:vAlign w:val="center"/>
        </w:tcPr>
        <w:p w:rsidR="00B046B3" w:rsidRDefault="00B046B3" w:rsidP="001228D6">
          <w:pPr>
            <w:pStyle w:val="Sidfot"/>
            <w:rPr>
              <w:sz w:val="14"/>
            </w:rPr>
          </w:pPr>
          <w:r>
            <w:rPr>
              <w:sz w:val="14"/>
            </w:rPr>
            <w:t>Fax</w:t>
          </w:r>
        </w:p>
        <w:p w:rsidR="00B046B3" w:rsidRDefault="00B046B3" w:rsidP="001228D6">
          <w:pPr>
            <w:pStyle w:val="Sidfot"/>
            <w:rPr>
              <w:sz w:val="14"/>
            </w:rPr>
          </w:pPr>
          <w:r>
            <w:rPr>
              <w:sz w:val="14"/>
            </w:rPr>
            <w:t>0456-134 29</w:t>
          </w:r>
        </w:p>
      </w:tc>
      <w:tc>
        <w:tcPr>
          <w:tcW w:w="1134" w:type="dxa"/>
          <w:tcBorders>
            <w:top w:val="single" w:sz="4" w:space="0" w:color="auto"/>
          </w:tcBorders>
          <w:vAlign w:val="center"/>
        </w:tcPr>
        <w:p w:rsidR="00B046B3" w:rsidRDefault="00B046B3" w:rsidP="001228D6">
          <w:pPr>
            <w:pStyle w:val="Sidfot"/>
            <w:rPr>
              <w:sz w:val="14"/>
            </w:rPr>
          </w:pPr>
          <w:r>
            <w:rPr>
              <w:sz w:val="14"/>
            </w:rPr>
            <w:t>Bankgiro</w:t>
          </w:r>
        </w:p>
        <w:p w:rsidR="00B046B3" w:rsidRDefault="00B046B3" w:rsidP="001228D6">
          <w:pPr>
            <w:pStyle w:val="Sidfot"/>
            <w:rPr>
              <w:sz w:val="14"/>
            </w:rPr>
          </w:pPr>
          <w:r>
            <w:rPr>
              <w:sz w:val="14"/>
            </w:rPr>
            <w:t>343-5625</w:t>
          </w:r>
        </w:p>
      </w:tc>
      <w:tc>
        <w:tcPr>
          <w:tcW w:w="1418" w:type="dxa"/>
          <w:tcBorders>
            <w:top w:val="single" w:sz="4" w:space="0" w:color="auto"/>
          </w:tcBorders>
          <w:vAlign w:val="center"/>
        </w:tcPr>
        <w:p w:rsidR="00B046B3" w:rsidRDefault="00B046B3" w:rsidP="001228D6">
          <w:pPr>
            <w:pStyle w:val="Sidfot"/>
            <w:rPr>
              <w:sz w:val="14"/>
            </w:rPr>
          </w:pPr>
          <w:r>
            <w:rPr>
              <w:sz w:val="14"/>
            </w:rPr>
            <w:t>Organisationsnr</w:t>
          </w:r>
        </w:p>
        <w:p w:rsidR="00B046B3" w:rsidRDefault="00B046B3" w:rsidP="001228D6">
          <w:pPr>
            <w:pStyle w:val="Sidfot"/>
            <w:rPr>
              <w:sz w:val="14"/>
            </w:rPr>
          </w:pPr>
          <w:r>
            <w:rPr>
              <w:sz w:val="14"/>
            </w:rPr>
            <w:t>212000-0852</w:t>
          </w:r>
        </w:p>
      </w:tc>
      <w:tc>
        <w:tcPr>
          <w:tcW w:w="2552" w:type="dxa"/>
          <w:tcBorders>
            <w:top w:val="single" w:sz="4" w:space="0" w:color="auto"/>
          </w:tcBorders>
          <w:vAlign w:val="center"/>
        </w:tcPr>
        <w:p w:rsidR="00B046B3" w:rsidRDefault="00B046B3" w:rsidP="001228D6">
          <w:pPr>
            <w:pStyle w:val="Sidfot"/>
            <w:rPr>
              <w:sz w:val="14"/>
            </w:rPr>
          </w:pPr>
          <w:r>
            <w:rPr>
              <w:sz w:val="14"/>
            </w:rPr>
            <w:t>E-post</w:t>
          </w:r>
        </w:p>
        <w:p w:rsidR="00B046B3" w:rsidRDefault="00B046B3" w:rsidP="001228D6">
          <w:pPr>
            <w:pStyle w:val="Sidfot"/>
            <w:rPr>
              <w:sz w:val="14"/>
            </w:rPr>
          </w:pPr>
          <w:r>
            <w:rPr>
              <w:sz w:val="14"/>
            </w:rPr>
            <w:t>info@solvesborg.se</w:t>
          </w:r>
        </w:p>
      </w:tc>
    </w:tr>
  </w:tbl>
  <w:p w:rsidR="00B046B3" w:rsidRDefault="00B046B3">
    <w:pPr>
      <w:pStyle w:val="Sidfot"/>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0FB" w:rsidRDefault="002800FB" w:rsidP="00A80039">
      <w:pPr>
        <w:pStyle w:val="Tabellinnehll"/>
      </w:pPr>
      <w:r>
        <w:separator/>
      </w:r>
    </w:p>
  </w:footnote>
  <w:footnote w:type="continuationSeparator" w:id="0">
    <w:p w:rsidR="002800FB" w:rsidRDefault="002800FB" w:rsidP="00A80039">
      <w:pPr>
        <w:pStyle w:val="Tabellinnehl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2" w:type="dxa"/>
      <w:tblInd w:w="-1304" w:type="dxa"/>
      <w:tblLayout w:type="fixed"/>
      <w:tblCellMar>
        <w:top w:w="28" w:type="dxa"/>
        <w:left w:w="28" w:type="dxa"/>
        <w:right w:w="28" w:type="dxa"/>
      </w:tblCellMar>
      <w:tblLook w:val="0000" w:firstRow="0" w:lastRow="0" w:firstColumn="0" w:lastColumn="0" w:noHBand="0" w:noVBand="0"/>
    </w:tblPr>
    <w:tblGrid>
      <w:gridCol w:w="5216"/>
      <w:gridCol w:w="1956"/>
      <w:gridCol w:w="1956"/>
      <w:gridCol w:w="1304"/>
    </w:tblGrid>
    <w:tr w:rsidR="00B046B3" w:rsidRPr="00BA066B" w:rsidTr="00E41277">
      <w:trPr>
        <w:cantSplit/>
        <w:trHeight w:val="480"/>
      </w:trPr>
      <w:tc>
        <w:tcPr>
          <w:tcW w:w="5216" w:type="dxa"/>
          <w:vAlign w:val="bottom"/>
        </w:tcPr>
        <w:p w:rsidR="00B046B3" w:rsidRPr="00D20AC8" w:rsidRDefault="00B046B3" w:rsidP="00892332">
          <w:pPr>
            <w:pStyle w:val="Sidhuvud"/>
          </w:pPr>
          <w:r>
            <w:rPr>
              <w:noProof/>
            </w:rPr>
            <w:drawing>
              <wp:inline distT="0" distB="0" distL="0" distR="0" wp14:anchorId="2E5BAD2C" wp14:editId="0E0F3AB8">
                <wp:extent cx="2047875" cy="200025"/>
                <wp:effectExtent l="0" t="0" r="9525" b="9525"/>
                <wp:docPr id="6" name="Bild 6" descr="SBG_kommunna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G_kommunnam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200025"/>
                        </a:xfrm>
                        <a:prstGeom prst="rect">
                          <a:avLst/>
                        </a:prstGeom>
                        <a:noFill/>
                        <a:ln>
                          <a:noFill/>
                        </a:ln>
                      </pic:spPr>
                    </pic:pic>
                  </a:graphicData>
                </a:graphic>
              </wp:inline>
            </w:drawing>
          </w:r>
        </w:p>
      </w:tc>
      <w:tc>
        <w:tcPr>
          <w:tcW w:w="1956" w:type="dxa"/>
          <w:vAlign w:val="bottom"/>
        </w:tcPr>
        <w:p w:rsidR="00B046B3" w:rsidRPr="00BA066B" w:rsidRDefault="00B046B3" w:rsidP="00892332">
          <w:pPr>
            <w:pStyle w:val="Sidhuvudledtext"/>
          </w:pPr>
          <w:r>
            <w:t>Datum</w:t>
          </w:r>
        </w:p>
        <w:p w:rsidR="00B046B3" w:rsidRPr="00BA066B" w:rsidRDefault="00C75DFF" w:rsidP="00892332">
          <w:pPr>
            <w:pStyle w:val="Sidhuvud"/>
          </w:pPr>
          <w:r>
            <w:t>2017-10-03</w:t>
          </w:r>
        </w:p>
      </w:tc>
      <w:tc>
        <w:tcPr>
          <w:tcW w:w="1956" w:type="dxa"/>
          <w:vAlign w:val="bottom"/>
        </w:tcPr>
        <w:p w:rsidR="00B046B3" w:rsidRPr="00BA066B" w:rsidRDefault="00B046B3" w:rsidP="00892332">
          <w:pPr>
            <w:pStyle w:val="Sidhuvudledtext"/>
          </w:pPr>
        </w:p>
        <w:p w:rsidR="00B046B3" w:rsidRPr="00BA066B" w:rsidRDefault="00B046B3" w:rsidP="00892332">
          <w:pPr>
            <w:pStyle w:val="Sidhuvud"/>
          </w:pPr>
        </w:p>
      </w:tc>
      <w:tc>
        <w:tcPr>
          <w:tcW w:w="1304" w:type="dxa"/>
          <w:vAlign w:val="bottom"/>
        </w:tcPr>
        <w:p w:rsidR="00B046B3" w:rsidRPr="00BA066B" w:rsidRDefault="00B046B3" w:rsidP="00892332">
          <w:pPr>
            <w:pStyle w:val="Sidhuvudledtext"/>
          </w:pPr>
          <w:r>
            <w:t>Sida</w:t>
          </w:r>
        </w:p>
        <w:p w:rsidR="00B046B3" w:rsidRPr="00BA066B" w:rsidRDefault="00B046B3" w:rsidP="00892332">
          <w:pPr>
            <w:pStyle w:val="Sidhuvud"/>
          </w:pPr>
          <w:r>
            <w:rPr>
              <w:rStyle w:val="Sidnummer"/>
            </w:rPr>
            <w:fldChar w:fldCharType="begin"/>
          </w:r>
          <w:r>
            <w:rPr>
              <w:rStyle w:val="Sidnummer"/>
            </w:rPr>
            <w:instrText xml:space="preserve"> PAGE </w:instrText>
          </w:r>
          <w:r>
            <w:rPr>
              <w:rStyle w:val="Sidnummer"/>
            </w:rPr>
            <w:fldChar w:fldCharType="separate"/>
          </w:r>
          <w:r w:rsidR="00855A87">
            <w:rPr>
              <w:rStyle w:val="Sidnummer"/>
              <w:noProof/>
            </w:rPr>
            <w:t>3</w:t>
          </w:r>
          <w:r>
            <w:rPr>
              <w:rStyle w:val="Sidnummer"/>
            </w:rPr>
            <w:fldChar w:fldCharType="end"/>
          </w:r>
          <w:r w:rsidRPr="00BA066B">
            <w:rPr>
              <w:rStyle w:val="Sidnummer"/>
            </w:rPr>
            <w:t>(</w:t>
          </w:r>
          <w:r w:rsidRPr="00BA066B">
            <w:rPr>
              <w:rStyle w:val="Sidnummer"/>
            </w:rPr>
            <w:fldChar w:fldCharType="begin"/>
          </w:r>
          <w:r w:rsidRPr="00BA066B">
            <w:rPr>
              <w:rStyle w:val="Sidnummer"/>
            </w:rPr>
            <w:instrText xml:space="preserve"> NUMPAGES </w:instrText>
          </w:r>
          <w:r w:rsidRPr="00BA066B">
            <w:rPr>
              <w:rStyle w:val="Sidnummer"/>
            </w:rPr>
            <w:fldChar w:fldCharType="separate"/>
          </w:r>
          <w:r w:rsidR="00855A87">
            <w:rPr>
              <w:rStyle w:val="Sidnummer"/>
              <w:noProof/>
            </w:rPr>
            <w:t>3</w:t>
          </w:r>
          <w:r w:rsidRPr="00BA066B">
            <w:rPr>
              <w:rStyle w:val="Sidnummer"/>
            </w:rPr>
            <w:fldChar w:fldCharType="end"/>
          </w:r>
          <w:r w:rsidRPr="00BA066B">
            <w:rPr>
              <w:rStyle w:val="Sidnummer"/>
            </w:rPr>
            <w:t>)</w:t>
          </w:r>
        </w:p>
      </w:tc>
    </w:tr>
  </w:tbl>
  <w:p w:rsidR="00B046B3" w:rsidRDefault="00B046B3" w:rsidP="001520E7">
    <w:pPr>
      <w:pStyle w:val="Sidhuvud"/>
      <w:spacing w:after="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rsidR="00B046B3" w:rsidRDefault="002800FB">
        <w:pPr>
          <w:pStyle w:val="Sidhuvud"/>
          <w:jc w:val="right"/>
        </w:pPr>
      </w:p>
    </w:sdtContent>
  </w:sdt>
  <w:p w:rsidR="00B046B3" w:rsidRDefault="00B046B3">
    <w:pPr>
      <w:pStyle w:val="Sidhuvud"/>
      <w:spacing w:after="6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E4FE7"/>
    <w:multiLevelType w:val="hybridMultilevel"/>
    <w:tmpl w:val="4CE0AD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57F037D"/>
    <w:multiLevelType w:val="hybridMultilevel"/>
    <w:tmpl w:val="F98AF0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8C"/>
    <w:rsid w:val="00017084"/>
    <w:rsid w:val="00026BDF"/>
    <w:rsid w:val="00032FA4"/>
    <w:rsid w:val="00043536"/>
    <w:rsid w:val="0004663D"/>
    <w:rsid w:val="00056BE6"/>
    <w:rsid w:val="000612B1"/>
    <w:rsid w:val="0006497D"/>
    <w:rsid w:val="00065174"/>
    <w:rsid w:val="0006641F"/>
    <w:rsid w:val="000730EB"/>
    <w:rsid w:val="000749F0"/>
    <w:rsid w:val="000875A0"/>
    <w:rsid w:val="000968E0"/>
    <w:rsid w:val="000A3147"/>
    <w:rsid w:val="000A6E48"/>
    <w:rsid w:val="000C0782"/>
    <w:rsid w:val="000C45D0"/>
    <w:rsid w:val="000C54BF"/>
    <w:rsid w:val="000C76CD"/>
    <w:rsid w:val="000D00E1"/>
    <w:rsid w:val="000D6A6B"/>
    <w:rsid w:val="000D7DAC"/>
    <w:rsid w:val="000D7F94"/>
    <w:rsid w:val="000E4486"/>
    <w:rsid w:val="000E4DEE"/>
    <w:rsid w:val="000F16D7"/>
    <w:rsid w:val="001056BD"/>
    <w:rsid w:val="00111215"/>
    <w:rsid w:val="00111402"/>
    <w:rsid w:val="00120A07"/>
    <w:rsid w:val="001220D3"/>
    <w:rsid w:val="001228D6"/>
    <w:rsid w:val="001229BF"/>
    <w:rsid w:val="00135648"/>
    <w:rsid w:val="00144939"/>
    <w:rsid w:val="001520E7"/>
    <w:rsid w:val="00154706"/>
    <w:rsid w:val="00165ED0"/>
    <w:rsid w:val="0016659D"/>
    <w:rsid w:val="00167BCB"/>
    <w:rsid w:val="00172AAC"/>
    <w:rsid w:val="00177D94"/>
    <w:rsid w:val="00184AC1"/>
    <w:rsid w:val="00197742"/>
    <w:rsid w:val="001A7347"/>
    <w:rsid w:val="001A7830"/>
    <w:rsid w:val="001B7262"/>
    <w:rsid w:val="001C5836"/>
    <w:rsid w:val="001D33E9"/>
    <w:rsid w:val="001F00E3"/>
    <w:rsid w:val="001F35C3"/>
    <w:rsid w:val="001F4604"/>
    <w:rsid w:val="001F539B"/>
    <w:rsid w:val="001F677A"/>
    <w:rsid w:val="00202024"/>
    <w:rsid w:val="002048D8"/>
    <w:rsid w:val="002337F0"/>
    <w:rsid w:val="0023638F"/>
    <w:rsid w:val="00242113"/>
    <w:rsid w:val="002431D4"/>
    <w:rsid w:val="00246C86"/>
    <w:rsid w:val="00256083"/>
    <w:rsid w:val="002565B5"/>
    <w:rsid w:val="00266F0D"/>
    <w:rsid w:val="002800FB"/>
    <w:rsid w:val="00281E3F"/>
    <w:rsid w:val="002864D6"/>
    <w:rsid w:val="00294ADC"/>
    <w:rsid w:val="00295A4C"/>
    <w:rsid w:val="002A75E6"/>
    <w:rsid w:val="002B298C"/>
    <w:rsid w:val="002C0C3E"/>
    <w:rsid w:val="002E3B33"/>
    <w:rsid w:val="002F2AC8"/>
    <w:rsid w:val="0031139E"/>
    <w:rsid w:val="003230C2"/>
    <w:rsid w:val="0033038B"/>
    <w:rsid w:val="00333776"/>
    <w:rsid w:val="00335BAE"/>
    <w:rsid w:val="00347FE8"/>
    <w:rsid w:val="003502FA"/>
    <w:rsid w:val="0037250B"/>
    <w:rsid w:val="00372BE4"/>
    <w:rsid w:val="0038237E"/>
    <w:rsid w:val="003841C7"/>
    <w:rsid w:val="003860DF"/>
    <w:rsid w:val="003D2CA5"/>
    <w:rsid w:val="003E6BB0"/>
    <w:rsid w:val="003E79C7"/>
    <w:rsid w:val="003F0C7D"/>
    <w:rsid w:val="003F1F81"/>
    <w:rsid w:val="0040232C"/>
    <w:rsid w:val="004055A1"/>
    <w:rsid w:val="0040697E"/>
    <w:rsid w:val="004111B3"/>
    <w:rsid w:val="00422A38"/>
    <w:rsid w:val="00424825"/>
    <w:rsid w:val="004333AA"/>
    <w:rsid w:val="00447386"/>
    <w:rsid w:val="00451495"/>
    <w:rsid w:val="0045491A"/>
    <w:rsid w:val="004563D9"/>
    <w:rsid w:val="004564CD"/>
    <w:rsid w:val="004724BE"/>
    <w:rsid w:val="004734EE"/>
    <w:rsid w:val="004756AC"/>
    <w:rsid w:val="0047642E"/>
    <w:rsid w:val="00477A62"/>
    <w:rsid w:val="00484EB2"/>
    <w:rsid w:val="00494EB1"/>
    <w:rsid w:val="004958D2"/>
    <w:rsid w:val="004A120D"/>
    <w:rsid w:val="004A186F"/>
    <w:rsid w:val="004A4CCB"/>
    <w:rsid w:val="004B67CA"/>
    <w:rsid w:val="004C1012"/>
    <w:rsid w:val="004C2E6D"/>
    <w:rsid w:val="004C682C"/>
    <w:rsid w:val="004D2061"/>
    <w:rsid w:val="004D4C1C"/>
    <w:rsid w:val="004E1D71"/>
    <w:rsid w:val="004E5048"/>
    <w:rsid w:val="004F1B07"/>
    <w:rsid w:val="005203BF"/>
    <w:rsid w:val="00525383"/>
    <w:rsid w:val="00532088"/>
    <w:rsid w:val="00533997"/>
    <w:rsid w:val="00535B74"/>
    <w:rsid w:val="0054072A"/>
    <w:rsid w:val="005517C6"/>
    <w:rsid w:val="00557CDB"/>
    <w:rsid w:val="00557D30"/>
    <w:rsid w:val="00562CB6"/>
    <w:rsid w:val="0056528D"/>
    <w:rsid w:val="005660A9"/>
    <w:rsid w:val="005706BB"/>
    <w:rsid w:val="005725D3"/>
    <w:rsid w:val="00575330"/>
    <w:rsid w:val="00577DC7"/>
    <w:rsid w:val="005876A8"/>
    <w:rsid w:val="005919C8"/>
    <w:rsid w:val="00592017"/>
    <w:rsid w:val="005927B9"/>
    <w:rsid w:val="00595DD9"/>
    <w:rsid w:val="00596109"/>
    <w:rsid w:val="00596FD2"/>
    <w:rsid w:val="005A1D99"/>
    <w:rsid w:val="005B12EF"/>
    <w:rsid w:val="005B1C10"/>
    <w:rsid w:val="005C32A0"/>
    <w:rsid w:val="005C70ED"/>
    <w:rsid w:val="005D1E10"/>
    <w:rsid w:val="005E2DAC"/>
    <w:rsid w:val="005F22F0"/>
    <w:rsid w:val="005F3F1B"/>
    <w:rsid w:val="00601420"/>
    <w:rsid w:val="00607E6D"/>
    <w:rsid w:val="0061439D"/>
    <w:rsid w:val="00623485"/>
    <w:rsid w:val="00626BDF"/>
    <w:rsid w:val="00630701"/>
    <w:rsid w:val="00631943"/>
    <w:rsid w:val="00640533"/>
    <w:rsid w:val="00641202"/>
    <w:rsid w:val="0064799B"/>
    <w:rsid w:val="00657EC0"/>
    <w:rsid w:val="006615D0"/>
    <w:rsid w:val="00663ADC"/>
    <w:rsid w:val="00664AF8"/>
    <w:rsid w:val="00683640"/>
    <w:rsid w:val="006974EA"/>
    <w:rsid w:val="006A0CF7"/>
    <w:rsid w:val="006B1931"/>
    <w:rsid w:val="006C6A36"/>
    <w:rsid w:val="006C74BA"/>
    <w:rsid w:val="006D3212"/>
    <w:rsid w:val="006E5157"/>
    <w:rsid w:val="006E62F1"/>
    <w:rsid w:val="006E6FE9"/>
    <w:rsid w:val="006F78BA"/>
    <w:rsid w:val="0070163B"/>
    <w:rsid w:val="007040CD"/>
    <w:rsid w:val="0070578A"/>
    <w:rsid w:val="00716017"/>
    <w:rsid w:val="00720DC3"/>
    <w:rsid w:val="00731268"/>
    <w:rsid w:val="007323FF"/>
    <w:rsid w:val="00737FB8"/>
    <w:rsid w:val="00741A64"/>
    <w:rsid w:val="007617BA"/>
    <w:rsid w:val="0076363F"/>
    <w:rsid w:val="00776B36"/>
    <w:rsid w:val="00792A2B"/>
    <w:rsid w:val="007A5216"/>
    <w:rsid w:val="007C0EBE"/>
    <w:rsid w:val="007D7237"/>
    <w:rsid w:val="007E1B50"/>
    <w:rsid w:val="007E2A6D"/>
    <w:rsid w:val="007E79F1"/>
    <w:rsid w:val="007F59D8"/>
    <w:rsid w:val="00805910"/>
    <w:rsid w:val="00816620"/>
    <w:rsid w:val="00816A2D"/>
    <w:rsid w:val="00820351"/>
    <w:rsid w:val="008301E0"/>
    <w:rsid w:val="00854599"/>
    <w:rsid w:val="00855A87"/>
    <w:rsid w:val="00862EEE"/>
    <w:rsid w:val="0087459C"/>
    <w:rsid w:val="00876B2C"/>
    <w:rsid w:val="00877BA4"/>
    <w:rsid w:val="00877C1F"/>
    <w:rsid w:val="00892332"/>
    <w:rsid w:val="00896980"/>
    <w:rsid w:val="008A2C43"/>
    <w:rsid w:val="008A3311"/>
    <w:rsid w:val="008D10A1"/>
    <w:rsid w:val="008F3B8D"/>
    <w:rsid w:val="008F7BFD"/>
    <w:rsid w:val="008F7E78"/>
    <w:rsid w:val="0090277D"/>
    <w:rsid w:val="0090343B"/>
    <w:rsid w:val="00910F2F"/>
    <w:rsid w:val="00914A8A"/>
    <w:rsid w:val="00925265"/>
    <w:rsid w:val="0093045D"/>
    <w:rsid w:val="009334E5"/>
    <w:rsid w:val="00941866"/>
    <w:rsid w:val="00945877"/>
    <w:rsid w:val="009571EE"/>
    <w:rsid w:val="00957EEE"/>
    <w:rsid w:val="0096012B"/>
    <w:rsid w:val="0096286B"/>
    <w:rsid w:val="009672F0"/>
    <w:rsid w:val="00974C0A"/>
    <w:rsid w:val="0097647F"/>
    <w:rsid w:val="0098305B"/>
    <w:rsid w:val="00983C81"/>
    <w:rsid w:val="00995492"/>
    <w:rsid w:val="00997952"/>
    <w:rsid w:val="009A66FF"/>
    <w:rsid w:val="009B612D"/>
    <w:rsid w:val="009C05A4"/>
    <w:rsid w:val="009D2773"/>
    <w:rsid w:val="009E62C3"/>
    <w:rsid w:val="00A01A91"/>
    <w:rsid w:val="00A154B6"/>
    <w:rsid w:val="00A43635"/>
    <w:rsid w:val="00A55BEF"/>
    <w:rsid w:val="00A70975"/>
    <w:rsid w:val="00A746CF"/>
    <w:rsid w:val="00A7680C"/>
    <w:rsid w:val="00A76A94"/>
    <w:rsid w:val="00A80039"/>
    <w:rsid w:val="00A90565"/>
    <w:rsid w:val="00A96BDA"/>
    <w:rsid w:val="00A971E6"/>
    <w:rsid w:val="00AA7AEB"/>
    <w:rsid w:val="00AB0DD4"/>
    <w:rsid w:val="00AB12D9"/>
    <w:rsid w:val="00AC3611"/>
    <w:rsid w:val="00B01D70"/>
    <w:rsid w:val="00B027CB"/>
    <w:rsid w:val="00B02D86"/>
    <w:rsid w:val="00B046B3"/>
    <w:rsid w:val="00B05CD4"/>
    <w:rsid w:val="00B15DE9"/>
    <w:rsid w:val="00B235F2"/>
    <w:rsid w:val="00B25C0B"/>
    <w:rsid w:val="00B30098"/>
    <w:rsid w:val="00B400F6"/>
    <w:rsid w:val="00B4010B"/>
    <w:rsid w:val="00B40B4D"/>
    <w:rsid w:val="00B4202B"/>
    <w:rsid w:val="00B4452B"/>
    <w:rsid w:val="00B53F73"/>
    <w:rsid w:val="00B64257"/>
    <w:rsid w:val="00B70F25"/>
    <w:rsid w:val="00B718F7"/>
    <w:rsid w:val="00B746D8"/>
    <w:rsid w:val="00B7600A"/>
    <w:rsid w:val="00B854B2"/>
    <w:rsid w:val="00BA066B"/>
    <w:rsid w:val="00BA1D94"/>
    <w:rsid w:val="00BD1DCF"/>
    <w:rsid w:val="00BD2E4A"/>
    <w:rsid w:val="00BD6049"/>
    <w:rsid w:val="00BD6E5A"/>
    <w:rsid w:val="00C0397E"/>
    <w:rsid w:val="00C07309"/>
    <w:rsid w:val="00C13183"/>
    <w:rsid w:val="00C26B73"/>
    <w:rsid w:val="00C51587"/>
    <w:rsid w:val="00C62068"/>
    <w:rsid w:val="00C63372"/>
    <w:rsid w:val="00C64FC5"/>
    <w:rsid w:val="00C75DFF"/>
    <w:rsid w:val="00C818BC"/>
    <w:rsid w:val="00CA31B2"/>
    <w:rsid w:val="00CD6E1C"/>
    <w:rsid w:val="00CF2B0B"/>
    <w:rsid w:val="00CF5BA2"/>
    <w:rsid w:val="00D00911"/>
    <w:rsid w:val="00D02975"/>
    <w:rsid w:val="00D066F6"/>
    <w:rsid w:val="00D100E5"/>
    <w:rsid w:val="00D13902"/>
    <w:rsid w:val="00D23FE0"/>
    <w:rsid w:val="00D24492"/>
    <w:rsid w:val="00D25FB7"/>
    <w:rsid w:val="00D40EC9"/>
    <w:rsid w:val="00D461CD"/>
    <w:rsid w:val="00D52F47"/>
    <w:rsid w:val="00D54EBD"/>
    <w:rsid w:val="00D55DB6"/>
    <w:rsid w:val="00D56812"/>
    <w:rsid w:val="00D8556E"/>
    <w:rsid w:val="00D86709"/>
    <w:rsid w:val="00DB3039"/>
    <w:rsid w:val="00DD0F11"/>
    <w:rsid w:val="00DF014E"/>
    <w:rsid w:val="00DF5131"/>
    <w:rsid w:val="00E039A1"/>
    <w:rsid w:val="00E1038B"/>
    <w:rsid w:val="00E12D27"/>
    <w:rsid w:val="00E13199"/>
    <w:rsid w:val="00E40253"/>
    <w:rsid w:val="00E41277"/>
    <w:rsid w:val="00E46D51"/>
    <w:rsid w:val="00E50B4C"/>
    <w:rsid w:val="00E67285"/>
    <w:rsid w:val="00E7024F"/>
    <w:rsid w:val="00E830A2"/>
    <w:rsid w:val="00E83EC9"/>
    <w:rsid w:val="00E84AB6"/>
    <w:rsid w:val="00E85BEC"/>
    <w:rsid w:val="00E973E1"/>
    <w:rsid w:val="00EA1883"/>
    <w:rsid w:val="00EB059B"/>
    <w:rsid w:val="00EB31E5"/>
    <w:rsid w:val="00EC417A"/>
    <w:rsid w:val="00ED627E"/>
    <w:rsid w:val="00EE2FB8"/>
    <w:rsid w:val="00EF115A"/>
    <w:rsid w:val="00EF533A"/>
    <w:rsid w:val="00F036B1"/>
    <w:rsid w:val="00F0665E"/>
    <w:rsid w:val="00F105ED"/>
    <w:rsid w:val="00F16425"/>
    <w:rsid w:val="00F22C8C"/>
    <w:rsid w:val="00F2315E"/>
    <w:rsid w:val="00F37A73"/>
    <w:rsid w:val="00F42D7B"/>
    <w:rsid w:val="00F44466"/>
    <w:rsid w:val="00F46096"/>
    <w:rsid w:val="00F564CA"/>
    <w:rsid w:val="00F56C64"/>
    <w:rsid w:val="00F77D72"/>
    <w:rsid w:val="00F809B1"/>
    <w:rsid w:val="00F833D2"/>
    <w:rsid w:val="00F83CD8"/>
    <w:rsid w:val="00F94D48"/>
    <w:rsid w:val="00F9696A"/>
    <w:rsid w:val="00FA2FB6"/>
    <w:rsid w:val="00FA4BA2"/>
    <w:rsid w:val="00FA537E"/>
    <w:rsid w:val="00FA669B"/>
    <w:rsid w:val="00FA7A36"/>
    <w:rsid w:val="00FB648E"/>
    <w:rsid w:val="00FC2D8B"/>
    <w:rsid w:val="00FC2E1A"/>
    <w:rsid w:val="00FC7967"/>
    <w:rsid w:val="00FD06D6"/>
    <w:rsid w:val="00FD41EC"/>
    <w:rsid w:val="00FD59EB"/>
    <w:rsid w:val="00FE4DD3"/>
    <w:rsid w:val="00FF0DE4"/>
    <w:rsid w:val="00FF25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3FC4A1-D2AC-441C-820F-CFD37765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6096"/>
    <w:rPr>
      <w:rFonts w:ascii="CG Omega" w:hAnsi="CG Omega"/>
      <w:sz w:val="24"/>
    </w:rPr>
  </w:style>
  <w:style w:type="paragraph" w:styleId="Rubrik1">
    <w:name w:val="heading 1"/>
    <w:basedOn w:val="Normal"/>
    <w:next w:val="Brdtext"/>
    <w:qFormat/>
    <w:rsid w:val="00F46096"/>
    <w:pPr>
      <w:keepNext/>
      <w:spacing w:before="480" w:after="120"/>
      <w:outlineLvl w:val="0"/>
    </w:pPr>
    <w:rPr>
      <w:b/>
      <w:sz w:val="28"/>
    </w:rPr>
  </w:style>
  <w:style w:type="paragraph" w:styleId="Rubrik2">
    <w:name w:val="heading 2"/>
    <w:basedOn w:val="Normal"/>
    <w:next w:val="Brdtext"/>
    <w:qFormat/>
    <w:rsid w:val="00F46096"/>
    <w:pPr>
      <w:keepNext/>
      <w:spacing w:before="120" w:after="60"/>
      <w:outlineLvl w:val="1"/>
    </w:pPr>
    <w:rPr>
      <w:b/>
    </w:rPr>
  </w:style>
  <w:style w:type="paragraph" w:styleId="Rubrik3">
    <w:name w:val="heading 3"/>
    <w:basedOn w:val="Normal"/>
    <w:next w:val="Brdtext"/>
    <w:qFormat/>
    <w:rsid w:val="00F46096"/>
    <w:pPr>
      <w:keepNext/>
      <w:spacing w:before="120" w:after="60"/>
      <w:outlineLvl w:val="2"/>
    </w:pPr>
    <w:rPr>
      <w:sz w:val="22"/>
    </w:rPr>
  </w:style>
  <w:style w:type="paragraph" w:styleId="Rubrik4">
    <w:name w:val="heading 4"/>
    <w:basedOn w:val="Normal"/>
    <w:next w:val="Brdtext"/>
    <w:qFormat/>
    <w:rsid w:val="00EC417A"/>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rsid w:val="00945877"/>
    <w:rPr>
      <w:sz w:val="20"/>
    </w:rPr>
  </w:style>
  <w:style w:type="paragraph" w:customStyle="1" w:styleId="Tabellrubrik">
    <w:name w:val="Tabellrubrik"/>
    <w:basedOn w:val="Tabellinnehll"/>
    <w:next w:val="Tabellinnehll"/>
    <w:rsid w:val="00820351"/>
    <w:rPr>
      <w:b/>
      <w:color w:val="000080"/>
    </w:rPr>
  </w:style>
  <w:style w:type="paragraph" w:customStyle="1" w:styleId="Sidfotledtext">
    <w:name w:val="Sidfot_ledtext"/>
    <w:basedOn w:val="Sidfot"/>
    <w:next w:val="Sidfot"/>
    <w:rsid w:val="002048D8"/>
    <w:pPr>
      <w:spacing w:before="60"/>
    </w:pPr>
    <w:rPr>
      <w:sz w:val="12"/>
      <w:szCs w:val="12"/>
    </w:rPr>
  </w:style>
  <w:style w:type="paragraph" w:styleId="Sidfot">
    <w:name w:val="footer"/>
    <w:basedOn w:val="Normal"/>
    <w:rsid w:val="00F46096"/>
    <w:rPr>
      <w:sz w:val="16"/>
    </w:rPr>
  </w:style>
  <w:style w:type="paragraph" w:styleId="Sidhuvud">
    <w:name w:val="header"/>
    <w:basedOn w:val="Normal"/>
    <w:link w:val="SidhuvudChar"/>
    <w:uiPriority w:val="99"/>
    <w:rsid w:val="00F46096"/>
    <w:rPr>
      <w:sz w:val="20"/>
    </w:rPr>
  </w:style>
  <w:style w:type="paragraph" w:customStyle="1" w:styleId="Tabellinnehll">
    <w:name w:val="Tabellinnehåll"/>
    <w:basedOn w:val="Normal"/>
    <w:rsid w:val="00820351"/>
    <w:rPr>
      <w:rFonts w:ascii="Arial" w:hAnsi="Arial"/>
      <w:sz w:val="20"/>
    </w:rPr>
  </w:style>
  <w:style w:type="character" w:styleId="Sidnummer">
    <w:name w:val="page number"/>
    <w:basedOn w:val="Standardstycketeckensnitt"/>
    <w:rsid w:val="00F46096"/>
    <w:rPr>
      <w:rFonts w:ascii="CG Omega" w:hAnsi="CG Omega"/>
    </w:rPr>
  </w:style>
  <w:style w:type="paragraph" w:customStyle="1" w:styleId="Sidhuvudledtext">
    <w:name w:val="Sidhuvud_ledtext"/>
    <w:basedOn w:val="Sidhuvud"/>
    <w:next w:val="Sidhuvud"/>
    <w:rsid w:val="00EF533A"/>
    <w:pPr>
      <w:spacing w:before="100"/>
    </w:pPr>
    <w:rPr>
      <w:sz w:val="14"/>
    </w:rPr>
  </w:style>
  <w:style w:type="paragraph" w:styleId="Brdtext">
    <w:name w:val="Body Text"/>
    <w:basedOn w:val="Normal"/>
    <w:link w:val="BrdtextChar"/>
    <w:rsid w:val="00820351"/>
    <w:pPr>
      <w:spacing w:after="120"/>
    </w:pPr>
  </w:style>
  <w:style w:type="character" w:styleId="Hyperlnk">
    <w:name w:val="Hyperlink"/>
    <w:basedOn w:val="Standardstycketeckensnitt"/>
    <w:rsid w:val="002B298C"/>
    <w:rPr>
      <w:color w:val="0000FF" w:themeColor="hyperlink"/>
      <w:u w:val="single"/>
    </w:rPr>
  </w:style>
  <w:style w:type="paragraph" w:styleId="Ballongtext">
    <w:name w:val="Balloon Text"/>
    <w:basedOn w:val="Normal"/>
    <w:link w:val="BallongtextChar"/>
    <w:rsid w:val="00F0665E"/>
    <w:rPr>
      <w:rFonts w:ascii="Tahoma" w:hAnsi="Tahoma" w:cs="Tahoma"/>
      <w:sz w:val="16"/>
      <w:szCs w:val="16"/>
    </w:rPr>
  </w:style>
  <w:style w:type="character" w:customStyle="1" w:styleId="BallongtextChar">
    <w:name w:val="Ballongtext Char"/>
    <w:basedOn w:val="Standardstycketeckensnitt"/>
    <w:link w:val="Ballongtext"/>
    <w:rsid w:val="00F0665E"/>
    <w:rPr>
      <w:rFonts w:ascii="Tahoma" w:hAnsi="Tahoma" w:cs="Tahoma"/>
      <w:sz w:val="16"/>
      <w:szCs w:val="16"/>
    </w:rPr>
  </w:style>
  <w:style w:type="paragraph" w:styleId="Liststycke">
    <w:name w:val="List Paragraph"/>
    <w:basedOn w:val="Normal"/>
    <w:uiPriority w:val="34"/>
    <w:qFormat/>
    <w:rsid w:val="00FE4DD3"/>
    <w:pPr>
      <w:ind w:left="720"/>
      <w:contextualSpacing/>
    </w:pPr>
  </w:style>
  <w:style w:type="paragraph" w:customStyle="1" w:styleId="Default">
    <w:name w:val="Default"/>
    <w:rsid w:val="005D1E10"/>
    <w:pPr>
      <w:autoSpaceDE w:val="0"/>
      <w:autoSpaceDN w:val="0"/>
      <w:adjustRightInd w:val="0"/>
    </w:pPr>
    <w:rPr>
      <w:rFonts w:ascii="Arial" w:eastAsiaTheme="minorHAnsi" w:hAnsi="Arial" w:cs="Arial"/>
      <w:color w:val="000000"/>
      <w:sz w:val="24"/>
      <w:szCs w:val="24"/>
      <w:lang w:eastAsia="en-US"/>
    </w:rPr>
  </w:style>
  <w:style w:type="character" w:customStyle="1" w:styleId="BrdtextChar">
    <w:name w:val="Brödtext Char"/>
    <w:basedOn w:val="Standardstycketeckensnitt"/>
    <w:link w:val="Brdtext"/>
    <w:rsid w:val="005D1E10"/>
    <w:rPr>
      <w:rFonts w:ascii="CG Omega" w:hAnsi="CG Omega"/>
      <w:sz w:val="24"/>
    </w:rPr>
  </w:style>
  <w:style w:type="character" w:customStyle="1" w:styleId="SidhuvudChar">
    <w:name w:val="Sidhuvud Char"/>
    <w:basedOn w:val="Standardstycketeckensnitt"/>
    <w:link w:val="Sidhuvud"/>
    <w:uiPriority w:val="99"/>
    <w:rsid w:val="005D1E10"/>
    <w:rPr>
      <w:rFonts w:ascii="CG Omega" w:hAnsi="CG Omeg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12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C8A43-E170-40B0-A0CC-9DBB4304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3948</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Dokument</vt:lpstr>
    </vt:vector>
  </TitlesOfParts>
  <Company>Sölvesborgs kommun</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Helen Gårner</dc:creator>
  <dc:description>Framställt från en av FORMsoft ABs mallar</dc:description>
  <cp:lastModifiedBy>Malin</cp:lastModifiedBy>
  <cp:revision>2</cp:revision>
  <cp:lastPrinted>2016-08-24T12:01:00Z</cp:lastPrinted>
  <dcterms:created xsi:type="dcterms:W3CDTF">2017-12-07T08:55:00Z</dcterms:created>
  <dcterms:modified xsi:type="dcterms:W3CDTF">2017-12-07T08:55:00Z</dcterms:modified>
</cp:coreProperties>
</file>